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Brand Digital Development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specialize in elevating brands through strategic and creative digital development, helping businesses establish a strong online presence that drives engagement, growth, and conversion. Whether you’re launching a new brand, rebranding, or refining your digital strategy, I provide tailored solutions that bring your vision to life.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What I Offer: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Brand Identity &amp; Positioning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Define or refine your brand voice, mission, and values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Develop a cohesive brand identity, including logo, color palette, and typography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Craft compelling brand messaging that resonates with your target audience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Website Strategy &amp; Design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User-focused website planning to enhance experience and functionality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Web design consultation to ensure aesthetic and brand consistency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SEO-friendly content structuring for maximum visibility and reach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Social Media Strategy &amp; Content Development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Custom content planning and execution for Instagram, TikTok, Facebook, and more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Engaging social media campaigns tailored to your audience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Storytelling-driven reels, videos, and graphics to boost engagement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Digital Marketing &amp; Growth Strategy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Organic and paid marketing strategies to increase brand awareness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Influencer collaborations and partnerships for brand amplification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Email marketing campaigns to nurture customer relationships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Content Creation &amp; Storytelling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High-quality written, visual, and video content that aligns with your brand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Creative storytelling strategies to build authentic connections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Engaging blog and article writing for brand authority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 E-Commerce &amp; Product Launch Strategy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Digital sales funnel creation and optimization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Product positioning for online success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Strategic launch plans, including social media buzz and influencer collaborations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take a hands-on, customized approach to every brand I work with, ensuring your digital presence aligns with your goals and vision. Whether you’re looking for a full-scale brand development strategy or specific digital marketing solutions, I’m here to help you bring your brand to life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