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Enhance your brand’s digital presence with comprehensive content creation services that blend strategic insight with creative execution. By capturing compelling images and crafting tailored content, I help your business connect authentically with your audience, driving engagement and growth.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Services Offered: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 Photography and Visual Content Creation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Professional Photography: Capture high-quality images that reflect your brand’s identity and resonate with your target audience.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Graphic Design: Develop visually appealing graphics for various platforms, ensuring consistency across all digital channels.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 Social Media Content Development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Platform-Specific Strategies: Create tailored content for platforms like Instagram, Facebook, TikTok, and LinkedIn to maximize engagement.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Content Calendars: Plan and schedule posts to maintain a consistent and active online presence.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 Video Production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Short-Form Videos: Produce engaging reels and TikTok videos that capture attention and convey your brand message effectively.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Product Demos and Tutorials: Showcase your products or services through informative and visually appealing videos.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 Copywriting and Blogging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SEO-Optimized Articles: Write informative and engaging blog posts that improve search engine rankings and provide value to your audience.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Website Copy: Craft compelling copy that communicates your brand’s value proposition and encourages conversions.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 Email Marketing Content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Newsletter Creation: Design and write newsletters that keep your subscribers informed and engaged.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Automated Email Sequences: Develop email campaigns that nurture leads and drive sales.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6. User-Generated Content (UGC) Strategies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UGC Campaigns: Encourage and curate content created by your customers to build trust and authenticity.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Community Engagement: Foster a community around your brand by highlighting user stories and experiences.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7. Analytics and Performance Tracking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Content Performance Reports: Monitor and analyze the effectiveness of your content to inform future strategies.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Audience Insights: Understand your audience’s preferences and behaviors to tailor content accordingly.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By integrating these services, I ensure your brand’s digital content is not only visually appealing but also strategically aligned with your business goals, fostering meaningful connections with your audience.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